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CE" w:rsidRDefault="004C78DC">
      <w:pPr>
        <w:pStyle w:val="2"/>
        <w:spacing w:before="89"/>
        <w:ind w:firstLine="314"/>
        <w:jc w:val="center"/>
        <w:rPr>
          <w:b w:val="0"/>
          <w:i w:val="0"/>
          <w:color w:val="3D3D3D"/>
          <w:sz w:val="24"/>
          <w:szCs w:val="24"/>
        </w:rPr>
      </w:pPr>
      <w:bookmarkStart w:id="0" w:name="_GoBack"/>
      <w:bookmarkEnd w:id="0"/>
      <w:r>
        <w:rPr>
          <w:b w:val="0"/>
          <w:i w:val="0"/>
          <w:color w:val="3D3D3D"/>
          <w:sz w:val="24"/>
          <w:szCs w:val="24"/>
        </w:rPr>
        <w:t>LIST OF SPECIALTIES AND EDUCATIONAL PROGRAMS ACCORDING TO</w:t>
      </w:r>
    </w:p>
    <w:p w:rsidR="00FC38CE" w:rsidRDefault="004C78DC">
      <w:pPr>
        <w:pStyle w:val="2"/>
        <w:spacing w:before="89"/>
        <w:ind w:firstLine="314"/>
        <w:jc w:val="center"/>
        <w:rPr>
          <w:b w:val="0"/>
          <w:i w:val="0"/>
          <w:color w:val="3D3D3D"/>
          <w:sz w:val="24"/>
          <w:szCs w:val="24"/>
        </w:rPr>
      </w:pPr>
      <w:r>
        <w:rPr>
          <w:b w:val="0"/>
          <w:i w:val="0"/>
          <w:color w:val="3D3D3D"/>
          <w:sz w:val="24"/>
          <w:szCs w:val="24"/>
        </w:rPr>
        <w:t>ANNOUNCEMENT OF ADMISSION FOR STUDY IN 2022</w:t>
      </w:r>
    </w:p>
    <w:p w:rsidR="00FC38CE" w:rsidRDefault="004C78DC">
      <w:pPr>
        <w:pStyle w:val="2"/>
        <w:spacing w:before="89"/>
        <w:ind w:firstLine="314"/>
      </w:pPr>
      <w:r>
        <w:t>Bachelor</w:t>
      </w: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i/>
          <w:color w:val="000000"/>
          <w:sz w:val="27"/>
          <w:szCs w:val="27"/>
        </w:rPr>
      </w:pPr>
    </w:p>
    <w:tbl>
      <w:tblPr>
        <w:tblStyle w:val="a5"/>
        <w:tblW w:w="1558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1135"/>
        <w:gridCol w:w="1133"/>
        <w:gridCol w:w="7076"/>
      </w:tblGrid>
      <w:tr w:rsidR="00FC38CE">
        <w:trPr>
          <w:trHeight w:val="300"/>
          <w:tblHeader/>
        </w:trPr>
        <w:tc>
          <w:tcPr>
            <w:tcW w:w="3120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75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Speciality</w:t>
            </w:r>
          </w:p>
        </w:tc>
        <w:tc>
          <w:tcPr>
            <w:tcW w:w="3118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53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Study Programme</w:t>
            </w:r>
          </w:p>
        </w:tc>
        <w:tc>
          <w:tcPr>
            <w:tcW w:w="2268" w:type="dxa"/>
            <w:gridSpan w:val="2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2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Programme Duration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120" w:right="1116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Educational-Scientific Institute/Faculty</w:t>
            </w:r>
          </w:p>
        </w:tc>
      </w:tr>
      <w:tr w:rsidR="00FC38CE">
        <w:trPr>
          <w:trHeight w:val="299"/>
          <w:tblHeader/>
        </w:trPr>
        <w:tc>
          <w:tcPr>
            <w:tcW w:w="3120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27" w:right="22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Full-time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06" w:right="10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Part-time*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1120" w:right="111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</w:t>
            </w:r>
          </w:p>
        </w:tc>
      </w:tr>
      <w:tr w:rsidR="00FC38CE">
        <w:trPr>
          <w:trHeight w:val="1194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017 Physical Education and sport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Fitness and Recreation**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Work, Health Improvement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Physical Rehabilitation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 Design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Environmental Design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Architecture, Design and Geodesy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Architecture and Environment Design</w:t>
            </w:r>
          </w:p>
        </w:tc>
      </w:tr>
      <w:tr w:rsidR="00FC38CE">
        <w:trPr>
          <w:trHeight w:val="599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033 Philosophy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80"/>
              </w:tabs>
              <w:spacing w:line="291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Analysis of Socio-Political Processes**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Economics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Philosophy and Social-Humanitarin Sciences</w:t>
            </w:r>
          </w:p>
        </w:tc>
      </w:tr>
      <w:tr w:rsidR="00FC38CE">
        <w:trPr>
          <w:trHeight w:val="894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035 Philology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English Language and Translation**</w:t>
            </w:r>
          </w:p>
        </w:tc>
        <w:tc>
          <w:tcPr>
            <w:tcW w:w="1135" w:type="dxa"/>
            <w:vAlign w:val="center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Foreign Philology</w:t>
            </w:r>
          </w:p>
        </w:tc>
      </w:tr>
      <w:tr w:rsidR="00FC38CE">
        <w:trPr>
          <w:trHeight w:val="739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051 Economics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Economics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Economics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Theoretical and Applied Economics</w:t>
            </w:r>
          </w:p>
        </w:tc>
      </w:tr>
      <w:tr w:rsidR="00FC38CE">
        <w:trPr>
          <w:trHeight w:val="1194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053 Psychology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55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Psychology of Business and Environmental Design</w:t>
            </w:r>
            <w:r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Work, Health Improvement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Creative Industries and Social Innovations</w:t>
            </w:r>
          </w:p>
        </w:tc>
      </w:tr>
      <w:tr w:rsidR="00FC38CE">
        <w:trPr>
          <w:trHeight w:val="664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 Accounting and Taxation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Accounting and Taxation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Economics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Accounting, Taxation and Audit</w:t>
            </w:r>
          </w:p>
        </w:tc>
      </w:tr>
      <w:tr w:rsidR="00FC38CE">
        <w:trPr>
          <w:trHeight w:val="672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072 Finance, Banking and Insurance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Finance, Banking and Insurance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Economics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Finance, Banking and Insurance</w:t>
            </w:r>
          </w:p>
        </w:tc>
      </w:tr>
      <w:tr w:rsidR="00FC38CE">
        <w:trPr>
          <w:trHeight w:val="1494"/>
        </w:trPr>
        <w:tc>
          <w:tcPr>
            <w:tcW w:w="3120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073 Management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1. Management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414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Department of Public Administration and Organizations’ Management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Mangement and Civil Service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Work, Health Improvement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Creative Industries and Social Innovations</w:t>
            </w:r>
          </w:p>
        </w:tc>
      </w:tr>
      <w:tr w:rsidR="00FC38CE">
        <w:trPr>
          <w:trHeight w:val="897"/>
        </w:trPr>
        <w:tc>
          <w:tcPr>
            <w:tcW w:w="3120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5" w:right="13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2. Personnel Management and Labour  Economy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Personnel Management and Labour Economy</w:t>
            </w:r>
          </w:p>
        </w:tc>
      </w:tr>
      <w:tr w:rsidR="00FC38CE">
        <w:trPr>
          <w:trHeight w:val="781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075 Marketing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9"/>
              </w:tabs>
              <w:ind w:left="105" w:right="99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Business Marketing and Internet Communication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4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4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Economics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Marketing, PR-Technologies and Logistics</w:t>
            </w:r>
          </w:p>
        </w:tc>
      </w:tr>
      <w:tr w:rsidR="00FC38CE">
        <w:trPr>
          <w:trHeight w:val="1770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1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076 Entrepreneurship, Trade and Stock Market Activity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5" w:right="63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Entrepreneurship, Trade and Stock Market Activity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Entrepreneurship and Trade</w:t>
            </w:r>
          </w:p>
        </w:tc>
      </w:tr>
      <w:tr w:rsidR="00FC38CE">
        <w:trPr>
          <w:trHeight w:val="897"/>
        </w:trPr>
        <w:tc>
          <w:tcPr>
            <w:tcW w:w="3120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 Law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1. Criminal Justice (Court. Prosecutor’s Office. Attorney’s Office)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Law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Criminal Law and Justice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1194"/>
        </w:trPr>
        <w:tc>
          <w:tcPr>
            <w:tcW w:w="3120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9"/>
              </w:tabs>
              <w:ind w:left="105" w:right="99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2. Civil and Commercial Justice (Court. Prosecutor’s Office. Law Assistance)**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Law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Public and Private Law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 Ecology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Ecology**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Food Technologies</w:t>
            </w:r>
          </w:p>
        </w:tc>
      </w:tr>
      <w:tr w:rsidR="00FC38CE">
        <w:trPr>
          <w:trHeight w:val="1096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4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 Software Engineering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2"/>
              <w:ind w:right="37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Software Engineering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Information Technology and Software Engineering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 w:right="104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 Computer Engineering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Computer Engineering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1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Information and Computer Systems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 Cybersecurity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Cybersecurity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Cybersecurity and Mathematical Simulation</w:t>
            </w:r>
          </w:p>
        </w:tc>
      </w:tr>
      <w:tr w:rsidR="00FC38CE">
        <w:trPr>
          <w:trHeight w:val="897"/>
        </w:trPr>
        <w:tc>
          <w:tcPr>
            <w:tcW w:w="3120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 Applied Mechanics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69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1. Mechanical Engineering Technologies, Computer Aided Design Systems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Department of Machine Engineering Technology and Wood Processing Technologies </w:t>
            </w:r>
          </w:p>
        </w:tc>
      </w:tr>
      <w:tr w:rsidR="00FC38CE">
        <w:trPr>
          <w:trHeight w:val="897"/>
        </w:trPr>
        <w:tc>
          <w:tcPr>
            <w:tcW w:w="3120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2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2. Welding Technologies and Equipment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Welding and Construction Technologies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133 Sectoral Machine Engineering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0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Sectoral Machine Engineering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8" w:right="33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Automobile Transport and Sectoral Machine Engineering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 Electric power, Electrical Engineering and Electromechanics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703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Electric power, Electrical Engineering and Electromechanics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08" w:right="13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Electrical Engineeringand Information Measuring Technologies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6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 Metrology and Information Measuring Equipment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left="105" w:right="130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Metrology and Information Measuring Equipment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08" w:right="13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Electrical Engineeringand Information Measuring Technologies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 Electronics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5"/>
              </w:tabs>
              <w:ind w:left="105" w:right="1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Electronics of Robotic Systems and Complexes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9"/>
                <w:tab w:val="left" w:pos="2989"/>
                <w:tab w:val="left" w:pos="4706"/>
                <w:tab w:val="left" w:pos="6645"/>
              </w:tabs>
              <w:spacing w:line="298" w:lineRule="auto"/>
              <w:ind w:left="108" w:right="10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Electronics, Automation, Robotics and Mechatronics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2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 Telecommunication and Radio Engineering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86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Telecommunication and Radio Engineering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Radio Engineering and Embedded Systems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 Food Technologies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2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Food Technologies and Engineering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Food Technologies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 Wood Processing and Furniture Technologies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105" w:right="10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Wood Processing and Furniture Technologies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Manchine Engineering and Wood Processing Technologies</w:t>
            </w:r>
          </w:p>
        </w:tc>
      </w:tr>
      <w:tr w:rsidR="00FC38CE">
        <w:trPr>
          <w:trHeight w:val="1284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 Architecture and Urban Planning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5" w:right="95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Architecture and Urban Planning **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Architecture, Design and Geodesy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Architecture and Environment Design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6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 Construction and Civil Engineering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5" w:right="204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Construction and Civil Engineering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Welding and Construction Technologies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1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 Geodesy and Land Management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Geodesy and Land Management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Architecture, Design and Geodesy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Geodesy, Cartography and Land Management</w:t>
            </w:r>
          </w:p>
        </w:tc>
      </w:tr>
      <w:tr w:rsidR="00FC38CE">
        <w:trPr>
          <w:trHeight w:val="381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 Agronomy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Agronomy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  <w:vMerge w:val="restart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Agricultural Technologies and Forestry</w:t>
            </w:r>
          </w:p>
        </w:tc>
      </w:tr>
      <w:tr w:rsidR="00FC38CE">
        <w:trPr>
          <w:trHeight w:val="415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 Forestry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Forestry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359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 Physical Therapy, Ergotherapy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8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Physical Therapy, </w:t>
            </w:r>
            <w:r>
              <w:rPr>
                <w:color w:val="000000"/>
                <w:sz w:val="26"/>
                <w:szCs w:val="26"/>
              </w:rPr>
              <w:t>Ergotherapy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Work, Health Improvement and Rehabilitation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Physical Rehabilitation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8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 Social Work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Social Work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Work, Health Improvement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Social Work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 Tourism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Tourism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Tourism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 Law Enforcement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28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Law Enforcement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Educational</w:t>
            </w:r>
            <w:r>
              <w:rPr>
                <w:color w:val="000000"/>
                <w:sz w:val="26"/>
                <w:szCs w:val="26"/>
              </w:rPr>
              <w:t>-Scientific Institute of Law and Social Technologies/ Faculty of Law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08" w:right="33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Law Enforcement and General Legal Disciplines</w:t>
            </w: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 Automobile Thansport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55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Automobile Transport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Automobile Transport and Sectoral Machine Engineering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8"/>
                <w:tab w:val="left" w:pos="3496"/>
                <w:tab w:val="left" w:pos="5189"/>
                <w:tab w:val="left" w:pos="5813"/>
              </w:tabs>
              <w:spacing w:line="298" w:lineRule="auto"/>
              <w:ind w:left="108" w:right="101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31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9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 Public Administration</w:t>
            </w:r>
          </w:p>
        </w:tc>
        <w:tc>
          <w:tcPr>
            <w:tcW w:w="3118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7"/>
                <w:tab w:val="left" w:pos="2688"/>
              </w:tabs>
              <w:ind w:left="105" w:right="1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Public Administartion</w:t>
            </w:r>
          </w:p>
        </w:tc>
        <w:tc>
          <w:tcPr>
            <w:tcW w:w="1135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7076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115" w:right="141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Public Administration and Organizations’ Management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8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i/>
          <w:color w:val="000000"/>
          <w:sz w:val="17"/>
          <w:szCs w:val="17"/>
        </w:rPr>
      </w:pPr>
    </w:p>
    <w:p w:rsidR="00FC38CE" w:rsidRDefault="004C78DC">
      <w:pPr>
        <w:spacing w:before="90"/>
        <w:ind w:left="314" w:right="823"/>
        <w:rPr>
          <w:sz w:val="24"/>
          <w:szCs w:val="24"/>
        </w:rPr>
      </w:pPr>
      <w:r>
        <w:rPr>
          <w:sz w:val="24"/>
          <w:szCs w:val="24"/>
        </w:rPr>
        <w:t>* - Training of part-time students is carried out on the basis of the Center for Retraining and Distance Learning (except for students of the Institute of Law and Social Technologies)</w:t>
      </w: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C38CE" w:rsidRDefault="004C78DC">
      <w:pPr>
        <w:ind w:left="314" w:right="1212"/>
        <w:rPr>
          <w:sz w:val="24"/>
          <w:szCs w:val="24"/>
        </w:rPr>
        <w:sectPr w:rsidR="00FC38CE">
          <w:footerReference w:type="default" r:id="rId6"/>
          <w:pgSz w:w="16850" w:h="11920" w:orient="landscape"/>
          <w:pgMar w:top="1100" w:right="200" w:bottom="500" w:left="480" w:header="0" w:footer="302" w:gutter="0"/>
          <w:pgNumType w:start="1"/>
          <w:cols w:space="720"/>
        </w:sectPr>
      </w:pPr>
      <w:r>
        <w:rPr>
          <w:sz w:val="24"/>
          <w:szCs w:val="24"/>
        </w:rPr>
        <w:t>** - Non-accredited educational programs. Admission to study of foreign citizens and stateless persons is carried out only for accredited programs</w:t>
      </w:r>
    </w:p>
    <w:p w:rsidR="00FC38CE" w:rsidRDefault="004C78DC">
      <w:pPr>
        <w:pStyle w:val="2"/>
        <w:ind w:firstLine="314"/>
      </w:pPr>
      <w:r>
        <w:t>Master</w:t>
      </w: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6"/>
          <w:szCs w:val="16"/>
        </w:rPr>
      </w:pPr>
    </w:p>
    <w:tbl>
      <w:tblPr>
        <w:tblStyle w:val="a6"/>
        <w:tblW w:w="15060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3121"/>
        <w:gridCol w:w="1136"/>
        <w:gridCol w:w="1220"/>
        <w:gridCol w:w="6719"/>
      </w:tblGrid>
      <w:tr w:rsidR="00FC38CE">
        <w:trPr>
          <w:trHeight w:val="299"/>
          <w:tblHeader/>
        </w:trPr>
        <w:tc>
          <w:tcPr>
            <w:tcW w:w="2864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Speciality</w:t>
            </w:r>
          </w:p>
        </w:tc>
        <w:tc>
          <w:tcPr>
            <w:tcW w:w="3121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9" w:right="119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Educational-Professional or Educational-Scientific Program</w:t>
            </w:r>
          </w:p>
        </w:tc>
        <w:tc>
          <w:tcPr>
            <w:tcW w:w="2356" w:type="dxa"/>
            <w:gridSpan w:val="2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27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Programme Duration</w:t>
            </w:r>
          </w:p>
        </w:tc>
        <w:tc>
          <w:tcPr>
            <w:tcW w:w="6719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7" w:right="107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Institute/Faculty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77" w:right="107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</w:t>
            </w:r>
          </w:p>
        </w:tc>
      </w:tr>
      <w:tr w:rsidR="00FC38CE">
        <w:trPr>
          <w:trHeight w:val="587"/>
          <w:tblHeader/>
        </w:trPr>
        <w:tc>
          <w:tcPr>
            <w:tcW w:w="2864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21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226" w:right="22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Full-time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47" w:right="147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Part-time*</w:t>
            </w:r>
          </w:p>
        </w:tc>
        <w:tc>
          <w:tcPr>
            <w:tcW w:w="6719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 Design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9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Visual Communication Design**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Architecture, Design and Geodesy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Architecture and Environment Design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5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051 Economics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Environment and Natural Resouce Economics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Educational</w:t>
            </w:r>
            <w:r>
              <w:rPr>
                <w:color w:val="000000"/>
                <w:sz w:val="26"/>
                <w:szCs w:val="26"/>
              </w:rPr>
              <w:t xml:space="preserve">-Scientific Institute of Economics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Theoretical and Applied Economics</w:t>
            </w:r>
          </w:p>
        </w:tc>
      </w:tr>
      <w:tr w:rsidR="00FC38CE">
        <w:trPr>
          <w:trHeight w:val="11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053 Psychology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Business Psychology</w:t>
            </w:r>
            <w:r>
              <w:rPr>
                <w:color w:val="000000"/>
                <w:sz w:val="26"/>
                <w:szCs w:val="26"/>
              </w:rPr>
              <w:t>**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-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Work, Health Improvement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Creative Industries and Social Innovations</w:t>
            </w: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 Accouting and Taxation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Accounting and Taxation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Educational</w:t>
            </w:r>
            <w:r>
              <w:rPr>
                <w:color w:val="000000"/>
                <w:sz w:val="26"/>
                <w:szCs w:val="26"/>
              </w:rPr>
              <w:t xml:space="preserve">-Scientific Institute of Economics             </w:t>
            </w:r>
            <w:r>
              <w:rPr>
                <w:i/>
                <w:color w:val="000000"/>
                <w:sz w:val="26"/>
                <w:szCs w:val="26"/>
              </w:rPr>
              <w:t>Department of Accounting, Taxation and Audit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072 Finance, Banking and Insurance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Finance, Banking and Insurance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Educational</w:t>
            </w:r>
            <w:r>
              <w:rPr>
                <w:color w:val="000000"/>
                <w:sz w:val="26"/>
                <w:szCs w:val="26"/>
              </w:rPr>
              <w:t xml:space="preserve">-Scientific Institute of Economics 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Finance, Banking and Insurance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073 Management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1. Management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Management and Civil Service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5"/>
        </w:trPr>
        <w:tc>
          <w:tcPr>
            <w:tcW w:w="2864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 w:right="13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2. Personnel Management and Labour Economics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Personnel Management and Labour Economy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1238"/>
        </w:trPr>
        <w:tc>
          <w:tcPr>
            <w:tcW w:w="2864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3. Management and Administration in the Field of Health Care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115" w:right="141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Department of Public Administration and Organizations’ Management 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26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599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075 Marketing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Marketing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3"/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Educational</w:t>
            </w:r>
            <w:r>
              <w:rPr>
                <w:color w:val="000000"/>
                <w:sz w:val="26"/>
                <w:szCs w:val="26"/>
              </w:rPr>
              <w:t xml:space="preserve">-Scientific Institute of Economics           </w:t>
            </w:r>
            <w:r>
              <w:rPr>
                <w:i/>
                <w:color w:val="000000"/>
                <w:sz w:val="26"/>
                <w:szCs w:val="26"/>
              </w:rPr>
              <w:t>Department of Marketing, PR-Technologies and Logistics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87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5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076 Entrepreneurship, Trade and Stock Market Activity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Entrepreneurship, Trade and Stock Market Activity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Entrepreneurship and Trade</w:t>
            </w: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 Law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3"/>
              </w:tabs>
              <w:ind w:left="107" w:right="100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Criminal Justice (Court. Prosecutor’s Office. Attorney’s Office)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Educational</w:t>
            </w:r>
            <w:r>
              <w:rPr>
                <w:color w:val="000000"/>
                <w:sz w:val="26"/>
                <w:szCs w:val="26"/>
              </w:rPr>
              <w:t>-Scientific Institute of Law and Social Technologies/ Faculty of Law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Criminal Law and Justice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9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 Software Engineering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Software Engineering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Information Technology and Software Engineering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332"/>
        </w:trPr>
        <w:tc>
          <w:tcPr>
            <w:tcW w:w="2864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8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 Computer Engineering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Computer Engineering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  <w:vMerge w:val="restart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Information and Computer Systems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Automation and Computer Engineering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 Cybersecurity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Cybersecurity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Cybersecurity and Mathematical Simulation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7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 Applied Mechanics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3" w:firstLine="64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Machine Engineering Technologies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Machine Engineering and Wood Processing Technologies 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  <w:tcBorders>
              <w:top w:val="nil"/>
            </w:tcBorders>
          </w:tcPr>
          <w:p w:rsidR="00FC38CE" w:rsidRDefault="00FC38CE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88" w:firstLine="6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Welding Technologies and Equipment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Welding and Construction Technologies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 Sectoral Machine Engineering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3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Sectoral Machine Engineering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Automobile Transport and Sectoral Machine Engineering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 Electric power, Electrical Engineering and Electromechanics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04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Electric power, Electrical Engineering and Electromechanics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05" w:right="94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Electrical Engineering and Information Measuring Technologies</w:t>
            </w:r>
          </w:p>
        </w:tc>
      </w:tr>
      <w:tr w:rsidR="00FC38CE">
        <w:trPr>
          <w:trHeight w:val="218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 Metrology and Information Measuring Equipment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04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Metrology and Information Measuring Equipment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4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Electrical Engineering and Information Measuring Technologies</w:t>
            </w: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 Electronics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Electronics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Electronics, Automation, Robotics and Mechatronics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 Telecommunication and Radio Engineering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63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Telecommunication and Radio Engineering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Radio Engineering and Embedded Systems</w:t>
            </w: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 Food Technologies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Food Technologies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Food Technologies</w:t>
            </w: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 Wood Processing and Furniture Technologies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107" w:right="10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Wood Processing and Furniture Technologies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Machine Engineering and Wood Processing Technologies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 Conctrucation and Civil Engineering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 w:right="2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Conctrucation and Civil Engineering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Welding and Construction Technologies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5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 Geodesy and Land Management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Geodesy and Land Management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Architecture, Design and Geodesy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Geodesy, Cartography and Land Management</w:t>
            </w:r>
          </w:p>
        </w:tc>
      </w:tr>
      <w:tr w:rsidR="00FC38CE">
        <w:trPr>
          <w:trHeight w:val="3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 Agronomy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Agronomy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/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  <w:vMerge w:val="restart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Agricultural Technologies and Forestry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603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 Forestry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Forestry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1"/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 Social Work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Social Work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Work, Health Improvement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Social Work</w:t>
            </w: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 Tourism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Tourism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1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2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Tourism</w:t>
            </w:r>
          </w:p>
        </w:tc>
      </w:tr>
      <w:tr w:rsidR="00FC38CE">
        <w:trPr>
          <w:trHeight w:val="897"/>
        </w:trPr>
        <w:tc>
          <w:tcPr>
            <w:tcW w:w="2864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 Automobile Transport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9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Automobile Transport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 Engineering, Technology and Transport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Automobile Transport and Sectoral Machine Engineering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7"/>
                <w:tab w:val="left" w:pos="3315"/>
                <w:tab w:val="left" w:pos="4917"/>
                <w:tab w:val="left" w:pos="5452"/>
              </w:tabs>
              <w:spacing w:line="300" w:lineRule="auto"/>
              <w:ind w:left="105" w:righ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  <w:vMerge w:val="restart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2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 Public Administration</w:t>
            </w: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9"/>
                <w:tab w:val="left" w:pos="2689"/>
              </w:tabs>
              <w:ind w:left="107" w:right="10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Public Administartion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115" w:right="1411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Public Administration and Organizations’ Management 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3"/>
                <w:tab w:val="left" w:pos="2883"/>
                <w:tab w:val="left" w:pos="4368"/>
                <w:tab w:val="left" w:pos="4991"/>
              </w:tabs>
              <w:spacing w:line="300" w:lineRule="auto"/>
              <w:ind w:left="105" w:right="105"/>
              <w:rPr>
                <w:i/>
                <w:color w:val="000000"/>
                <w:sz w:val="26"/>
                <w:szCs w:val="26"/>
              </w:rPr>
            </w:pPr>
          </w:p>
        </w:tc>
      </w:tr>
      <w:tr w:rsidR="00FC38CE">
        <w:trPr>
          <w:trHeight w:val="897"/>
        </w:trPr>
        <w:tc>
          <w:tcPr>
            <w:tcW w:w="2864" w:type="dxa"/>
            <w:vMerge/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121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Civil Service </w:t>
            </w:r>
          </w:p>
        </w:tc>
        <w:tc>
          <w:tcPr>
            <w:tcW w:w="1136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4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20" w:type="dxa"/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 w:right="14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1,4</w:t>
            </w:r>
          </w:p>
        </w:tc>
        <w:tc>
          <w:tcPr>
            <w:tcW w:w="6719" w:type="dxa"/>
          </w:tcPr>
          <w:p w:rsidR="00FC38CE" w:rsidRDefault="004C78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10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Management and Civil Service</w:t>
            </w:r>
          </w:p>
        </w:tc>
      </w:tr>
    </w:tbl>
    <w:p w:rsidR="00FC38CE" w:rsidRDefault="00FC38CE">
      <w:pPr>
        <w:spacing w:line="287" w:lineRule="auto"/>
        <w:rPr>
          <w:sz w:val="26"/>
          <w:szCs w:val="26"/>
        </w:rPr>
        <w:sectPr w:rsidR="00FC38CE">
          <w:pgSz w:w="16850" w:h="11920" w:orient="landscape"/>
          <w:pgMar w:top="1060" w:right="200" w:bottom="500" w:left="480" w:header="0" w:footer="302" w:gutter="0"/>
          <w:cols w:space="720"/>
        </w:sectPr>
      </w:pPr>
    </w:p>
    <w:p w:rsidR="00FC38CE" w:rsidRDefault="00FC38CE">
      <w:pPr>
        <w:rPr>
          <w:sz w:val="2"/>
          <w:szCs w:val="2"/>
        </w:rPr>
        <w:sectPr w:rsidR="00FC38CE">
          <w:type w:val="continuous"/>
          <w:pgSz w:w="16850" w:h="11920" w:orient="landscape"/>
          <w:pgMar w:top="1100" w:right="200" w:bottom="708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</w:r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i/>
          <w:color w:val="000000"/>
          <w:sz w:val="17"/>
          <w:szCs w:val="17"/>
        </w:rPr>
      </w:pPr>
    </w:p>
    <w:p w:rsidR="00FC38CE" w:rsidRDefault="004C78DC">
      <w:pPr>
        <w:spacing w:before="90"/>
        <w:ind w:left="314" w:right="823"/>
        <w:rPr>
          <w:sz w:val="24"/>
          <w:szCs w:val="24"/>
        </w:rPr>
      </w:pPr>
      <w:r>
        <w:rPr>
          <w:sz w:val="24"/>
          <w:szCs w:val="24"/>
        </w:rPr>
        <w:t>* - Training of part-time students is carried out on the basis of the Center for Retraining and Distance Learning (except for students of the Institute of Law and Social Technologies)</w:t>
      </w: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C38CE" w:rsidRDefault="004C78DC">
      <w:pPr>
        <w:ind w:left="314" w:right="1212"/>
        <w:rPr>
          <w:sz w:val="24"/>
          <w:szCs w:val="24"/>
        </w:rPr>
        <w:sectPr w:rsidR="00FC38CE">
          <w:footerReference w:type="default" r:id="rId7"/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  <w:r>
        <w:rPr>
          <w:sz w:val="24"/>
          <w:szCs w:val="24"/>
        </w:rPr>
        <w:t>** - Non-accredited educational programs. Admission to study of foreign citizens and stateless persons is carried out only for accredited programs</w:t>
      </w:r>
    </w:p>
    <w:p w:rsidR="00FC38CE" w:rsidRDefault="00FC38CE">
      <w:pPr>
        <w:rPr>
          <w:sz w:val="24"/>
          <w:szCs w:val="24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4C78DC">
      <w:pPr>
        <w:spacing w:before="78"/>
        <w:ind w:left="314"/>
        <w:rPr>
          <w:b/>
          <w:sz w:val="24"/>
          <w:szCs w:val="24"/>
        </w:rPr>
      </w:pPr>
      <w:r>
        <w:rPr>
          <w:b/>
          <w:sz w:val="24"/>
          <w:szCs w:val="24"/>
        </w:rPr>
        <w:t>BACHELOR</w:t>
      </w:r>
    </w:p>
    <w:p w:rsidR="00FC38CE" w:rsidRDefault="004C78DC">
      <w:pPr>
        <w:ind w:left="314"/>
        <w:rPr>
          <w:b/>
          <w:sz w:val="24"/>
          <w:szCs w:val="24"/>
        </w:rPr>
      </w:pPr>
      <w:r>
        <w:rPr>
          <w:b/>
          <w:sz w:val="24"/>
          <w:szCs w:val="24"/>
        </w:rPr>
        <w:t>(based on Junior Specialist’s diploma; on Bachelor’s, Specialist’s, Master’s di</w:t>
      </w:r>
      <w:r>
        <w:rPr>
          <w:b/>
          <w:sz w:val="24"/>
          <w:szCs w:val="24"/>
        </w:rPr>
        <w:t>plomas acquired in another scpecialty)</w:t>
      </w: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4"/>
          <w:szCs w:val="24"/>
        </w:rPr>
      </w:pPr>
    </w:p>
    <w:tbl>
      <w:tblPr>
        <w:tblStyle w:val="a7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599"/>
          <w:tblHeader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6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Specialty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92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Educational program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88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Term of study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ind w:left="392" w:right="379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limitations of prior education credit transfer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790" w:right="362" w:firstLine="110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Educational-scientific institute/faculty</w:t>
            </w:r>
          </w:p>
        </w:tc>
      </w:tr>
      <w:tr w:rsidR="00FC38CE">
        <w:trPr>
          <w:trHeight w:val="299"/>
          <w:tblHeader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340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full-time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94" w:right="93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part-time</w:t>
            </w: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472" w:right="743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Department</w:t>
            </w:r>
          </w:p>
        </w:tc>
      </w:tr>
      <w:tr w:rsidR="00FC38CE">
        <w:trPr>
          <w:trHeight w:val="1586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9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017 Physical Education and Sport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Fitness and Recreation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line="298" w:lineRule="auto"/>
              <w:ind w:left="94" w:right="9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one year and 10 months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 in specialty 017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 xml:space="preserve">Physical Education and Sport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Technologies, Recreation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Physical Rehabilitation</w:t>
            </w:r>
          </w:p>
        </w:tc>
      </w:tr>
      <w:tr w:rsidR="00FC38CE">
        <w:trPr>
          <w:trHeight w:val="128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1" w:right="193"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No more than 60 ECTS credits in other specialties 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FC38CE">
        <w:trPr>
          <w:trHeight w:val="10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FC38CE">
        <w:trPr>
          <w:trHeight w:val="1324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022 Design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Environmental Design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 w:right="237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 in specialty 022 Design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6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Architecture, Design and Geodesy </w:t>
            </w:r>
            <w:r>
              <w:rPr>
                <w:i/>
                <w:color w:val="000000"/>
                <w:sz w:val="26"/>
                <w:szCs w:val="26"/>
              </w:rPr>
              <w:t>Department of Architecture and Environmental Design</w:t>
            </w:r>
          </w:p>
        </w:tc>
      </w:tr>
      <w:tr w:rsidR="00FC38CE">
        <w:trPr>
          <w:trHeight w:val="1286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104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No more than 60 ECTS credits in other specialties 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FC38CE">
        <w:trPr>
          <w:trHeight w:val="1043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/>
              <w:ind w:left="94" w:right="89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FC38CE" w:rsidRDefault="00FC38CE">
      <w:pPr>
        <w:widowControl/>
        <w:rPr>
          <w:sz w:val="2"/>
          <w:szCs w:val="2"/>
        </w:rPr>
        <w:sectPr w:rsidR="00FC38CE">
          <w:pgSz w:w="16850" w:h="11920" w:orient="landscape"/>
          <w:pgMar w:top="1040" w:right="200" w:bottom="908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8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1058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051 Economics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Economics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 w:right="12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5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Economics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117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Theoretical and Applied Economics</w:t>
            </w:r>
          </w:p>
        </w:tc>
      </w:tr>
      <w:tr w:rsidR="00FC38CE">
        <w:trPr>
          <w:trHeight w:val="969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FC38CE">
        <w:trPr>
          <w:trHeight w:val="209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053 Psychology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Business Psychology and Design Thinking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Specialist),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Technologies, Recreation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6" w:right="419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Creative Industries and Social Innovation</w:t>
            </w:r>
          </w:p>
        </w:tc>
      </w:tr>
      <w:tr w:rsidR="00FC38CE">
        <w:trPr>
          <w:trHeight w:val="138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6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071 Accounting and Taxation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Accounting and Taxation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4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Economics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3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Accounting, Taxation and Audit</w:t>
            </w:r>
          </w:p>
        </w:tc>
      </w:tr>
      <w:tr w:rsidR="00FC38CE">
        <w:trPr>
          <w:trHeight w:val="82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38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072 Finance, Banking and Insurance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Finance, Banking and Insurance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 in specialty 072 Finance, Banking and Insurance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4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Economics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6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Finance, Banking and Insurance</w:t>
            </w:r>
          </w:p>
        </w:tc>
      </w:tr>
      <w:tr w:rsidR="00FC38CE">
        <w:trPr>
          <w:trHeight w:val="128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1" w:right="193"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0" w:right="194"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01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C38CE" w:rsidRDefault="00FC38CE">
      <w:pPr>
        <w:widowControl/>
        <w:rPr>
          <w:sz w:val="2"/>
          <w:szCs w:val="2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9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1382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073 Management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Management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Management and Public Service, Department of Public Administration and Organizations’ Management</w:t>
            </w:r>
          </w:p>
        </w:tc>
      </w:tr>
      <w:tr w:rsidR="00FC38CE">
        <w:trPr>
          <w:trHeight w:val="82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38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Management of Creative Industries and Social Innovation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 роки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10 місяців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Technologies, Recreation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19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Creative Industries and Social Innovation</w:t>
            </w:r>
          </w:p>
        </w:tc>
      </w:tr>
      <w:tr w:rsidR="00FC38CE">
        <w:trPr>
          <w:trHeight w:val="82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379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Personnel Management and Labor Economics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Toursim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7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Personnel Management and Labor Economics</w:t>
            </w:r>
          </w:p>
        </w:tc>
      </w:tr>
      <w:tr w:rsidR="00FC38CE">
        <w:trPr>
          <w:trHeight w:val="110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92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075 Marketing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Business Marketing and Internet Communication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6" w:lineRule="auto"/>
              <w:ind w:left="10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 in specialties of fields of knowledge 07 and 051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Toursim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2"/>
                <w:tab w:val="left" w:pos="3677"/>
              </w:tabs>
              <w:ind w:left="106" w:right="9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Marketing, PR Technologies and Logistics</w:t>
            </w:r>
          </w:p>
        </w:tc>
      </w:tr>
      <w:tr w:rsidR="00FC38CE">
        <w:trPr>
          <w:trHeight w:val="128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1" w:right="193"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0" w:right="194"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FC38CE" w:rsidRDefault="00FC38CE">
      <w:pPr>
        <w:widowControl/>
        <w:rPr>
          <w:sz w:val="2"/>
          <w:szCs w:val="2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a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82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1" w:right="193" w:firstLine="1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0" w:right="194" w:firstLine="1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10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076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13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Entrepreneurship, Trade and Stock Market Activity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Entrepreneurship, Trade and Stock Market Activity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4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Entrepreneurship and Trade</w:t>
            </w:r>
          </w:p>
        </w:tc>
      </w:tr>
      <w:tr w:rsidR="00FC38CE">
        <w:trPr>
          <w:trHeight w:val="854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1" w:right="193" w:firstLine="1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FC38CE">
        <w:trPr>
          <w:trHeight w:val="1158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081 Law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9"/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Criminal Justice (Court. Prosecutor’s Office. Attorney’s Office)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3"/>
              <w:rPr>
                <w:b/>
                <w:i/>
                <w:color w:val="000000"/>
                <w:sz w:val="23"/>
                <w:szCs w:val="23"/>
              </w:rPr>
            </w:pPr>
            <w:r>
              <w:rPr>
                <w:b/>
                <w:i/>
                <w:color w:val="000000"/>
                <w:sz w:val="23"/>
                <w:szCs w:val="23"/>
              </w:rPr>
              <w:t xml:space="preserve">The standard does not define limitations, they are are defined by the educational program. 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71"/>
              <w:rPr>
                <w:color w:val="000000"/>
                <w:sz w:val="23"/>
                <w:szCs w:val="23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Law and Social Technologies/ Faculty of Law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6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Criminal Law and Justice</w:t>
            </w:r>
          </w:p>
        </w:tc>
      </w:tr>
      <w:tr w:rsidR="00FC38CE">
        <w:trPr>
          <w:trHeight w:val="1382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1" w:right="193"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00" w:right="194" w:firstLine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in specialty 081 Law; no more than 60 ECTS credits in humanitarian  and no more than 30 ECTS credits in other specialties.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FC38CE">
        <w:trPr>
          <w:trHeight w:val="1379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 Ecology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Ecology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0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Food Technologies</w:t>
            </w:r>
          </w:p>
        </w:tc>
      </w:tr>
      <w:tr w:rsidR="00FC38CE">
        <w:trPr>
          <w:trHeight w:val="96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88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65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 Software Engineering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2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Software Engineering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 in specialties of field of knowledge 12 Information Technology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45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Department of Information Technology and Software Engineering</w:t>
            </w:r>
          </w:p>
        </w:tc>
      </w:tr>
    </w:tbl>
    <w:p w:rsidR="00FC38CE" w:rsidRDefault="00FC38CE">
      <w:pPr>
        <w:widowControl/>
        <w:rPr>
          <w:sz w:val="26"/>
          <w:szCs w:val="26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b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1288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94" w:right="8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-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in other specialties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83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38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6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 Computer Engineering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4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Computer Engineering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7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Information and Computer Systems</w:t>
            </w:r>
          </w:p>
        </w:tc>
      </w:tr>
      <w:tr w:rsidR="00FC38CE">
        <w:trPr>
          <w:trHeight w:val="83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38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125 Cybersecurity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Cybersecurity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14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Cyber Security and Mathematical Modeling</w:t>
            </w:r>
          </w:p>
        </w:tc>
      </w:tr>
      <w:tr w:rsidR="00FC38CE">
        <w:trPr>
          <w:trHeight w:val="101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644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5"/>
                <w:szCs w:val="25"/>
              </w:rPr>
            </w:pP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6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 Applied Mechanics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7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Mechanical engineering technologies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6" w:right="-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 more than 120 ECTS credits based on Junior Bachelor degree (Junior Specialist) in specialties of field of knowledge 13 Mechanical Engineering 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Mechanical Engineering, Technologies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Mechanical Engineering and Wood Processing Technologies</w:t>
            </w:r>
          </w:p>
        </w:tc>
      </w:tr>
      <w:tr w:rsidR="00FC38CE">
        <w:trPr>
          <w:trHeight w:val="1483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1" w:right="193" w:hanging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0" w:right="194" w:hanging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6" w:right="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FC38CE" w:rsidRDefault="00FC38CE">
      <w:pPr>
        <w:widowControl/>
        <w:rPr>
          <w:sz w:val="2"/>
          <w:szCs w:val="2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c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82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60 ECTS credits based on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C38CE">
        <w:trPr>
          <w:trHeight w:val="1644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63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Welding Technologies and Equipment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9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 more than 120 ECTS credits based on Junior Bachelor degree (Junior Specialist) in specialties of field of knowledge 13 Mechanical Engineering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Mechanical Engineering, Technologies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43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Welding Technologies and Construction</w:t>
            </w:r>
          </w:p>
        </w:tc>
      </w:tr>
      <w:tr w:rsidR="00FC38CE">
        <w:trPr>
          <w:trHeight w:val="115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93" w:hanging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9" w:lineRule="auto"/>
              <w:ind w:left="106" w:right="257"/>
              <w:rPr>
                <w:color w:val="000000"/>
              </w:rPr>
            </w:pPr>
            <w:r>
              <w:rPr>
                <w:color w:val="000000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82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224"/>
              <w:rPr>
                <w:color w:val="000000"/>
              </w:rPr>
            </w:pPr>
            <w:r>
              <w:rPr>
                <w:color w:val="000000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1516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133 Industrial Mechanical Engineering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7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Industrial Mechanical Engineering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No more than 120 ECTS credits based on Junior Bachelor degree (Junior Specialist) in specialties of field of knowledge 13 Mechanical Engineering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Mechanical Engineering, Technologies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08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Automobile Transport and Industrial Mechanical Engineering</w:t>
            </w:r>
          </w:p>
        </w:tc>
      </w:tr>
      <w:tr w:rsidR="00FC38CE">
        <w:trPr>
          <w:trHeight w:val="1149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93" w:hanging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6" w:lineRule="auto"/>
              <w:ind w:left="106" w:right="257"/>
              <w:rPr>
                <w:color w:val="000000"/>
              </w:rPr>
            </w:pPr>
            <w:r>
              <w:rPr>
                <w:color w:val="000000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823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224"/>
              <w:rPr>
                <w:color w:val="000000"/>
              </w:rPr>
            </w:pPr>
            <w:r>
              <w:rPr>
                <w:color w:val="000000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1369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Power Engineering, Electrical Engineering, Electromechanics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79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Power Engineering, Electrical Engineering, Electromechanics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8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No more than 120 ECTS credits based on Junior Bachelor degree (Junior Specialist) in specialties of field of knowledge 14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9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Electrical Engineering and Information and M</w:t>
            </w:r>
            <w:r>
              <w:rPr>
                <w:i/>
                <w:color w:val="000000"/>
                <w:sz w:val="26"/>
                <w:szCs w:val="26"/>
              </w:rPr>
              <w:t>easurement Technologies</w:t>
            </w:r>
          </w:p>
        </w:tc>
      </w:tr>
      <w:tr w:rsidR="00FC38CE">
        <w:trPr>
          <w:trHeight w:val="69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93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two years and 10 months (without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93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three years and 10 months (without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6" w:lineRule="auto"/>
              <w:ind w:left="106" w:right="257"/>
              <w:rPr>
                <w:color w:val="000000"/>
              </w:rPr>
            </w:pPr>
            <w:r>
              <w:rPr>
                <w:color w:val="000000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FC38CE" w:rsidRDefault="00FC38CE">
      <w:pPr>
        <w:widowControl/>
        <w:rPr>
          <w:sz w:val="2"/>
          <w:szCs w:val="2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d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552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9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38" w:righ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correspondent education)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C38CE">
        <w:trPr>
          <w:trHeight w:val="82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224"/>
              <w:rPr>
                <w:color w:val="000000"/>
              </w:rPr>
            </w:pPr>
            <w:r>
              <w:rPr>
                <w:color w:val="000000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1368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 Metrology and Information-Measuring Equipment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Metrology and Information-Measuring Equipment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6"/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8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No more than 120 ECTS credits based on Junior Bachelor degree (Junior Specialist) in specialties of field of knowledge 14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Electrical Engineering and Information and Measurement Technologies</w:t>
            </w:r>
          </w:p>
        </w:tc>
      </w:tr>
      <w:tr w:rsidR="00FC38CE">
        <w:trPr>
          <w:trHeight w:val="82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224"/>
              <w:rPr>
                <w:color w:val="000000"/>
              </w:rPr>
            </w:pPr>
            <w:r>
              <w:rPr>
                <w:color w:val="000000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137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 Electronics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9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Electronics of robotic systems and complexes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8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No more than 120 ECTS credits based on Junior Bachelor degree (Junior Specialist) in specialties of fields of knowledge 17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1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Electronics, Automation, Robotics and Mechatronics</w:t>
            </w:r>
          </w:p>
        </w:tc>
      </w:tr>
      <w:tr w:rsidR="00FC38CE">
        <w:trPr>
          <w:trHeight w:val="115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1" w:right="93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two years and 10 months 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06" w:right="257"/>
              <w:rPr>
                <w:color w:val="000000"/>
              </w:rPr>
            </w:pPr>
            <w:r>
              <w:rPr>
                <w:color w:val="000000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82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224"/>
              <w:rPr>
                <w:color w:val="000000"/>
              </w:rPr>
            </w:pPr>
            <w:r>
              <w:rPr>
                <w:color w:val="000000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1011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Telecommunication and Radio Engineering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3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Telecommunication and Radio Engineering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1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Electronic and Information Technologies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0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Biomedical Radio-Electronic Devices and Systems</w:t>
            </w:r>
          </w:p>
        </w:tc>
      </w:tr>
      <w:tr w:rsidR="00FC38CE">
        <w:trPr>
          <w:trHeight w:val="899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24"/>
              <w:rPr>
                <w:color w:val="000000"/>
              </w:rPr>
            </w:pPr>
            <w:r>
              <w:rPr>
                <w:color w:val="000000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38CE">
        <w:trPr>
          <w:trHeight w:val="105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 Food Technologies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Food Technologies and Engineering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 w:right="18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</w:tc>
      </w:tr>
    </w:tbl>
    <w:p w:rsidR="00FC38CE" w:rsidRDefault="00FC38CE">
      <w:pPr>
        <w:widowControl/>
        <w:rPr>
          <w:sz w:val="26"/>
          <w:szCs w:val="26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e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7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No more than 60 ECTS credits based on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4" w:lineRule="auto"/>
              <w:ind w:left="10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Food Technologies</w:t>
            </w:r>
          </w:p>
        </w:tc>
      </w:tr>
      <w:tr w:rsidR="00FC38CE">
        <w:trPr>
          <w:trHeight w:val="110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187 Wood Processing and Furniture Technologies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2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Wood Processing and Furniture Technologies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2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Mechanical Engineering, Technologies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Mechanical Engineering and Wood ProcessingTechnologies</w:t>
            </w:r>
          </w:p>
        </w:tc>
      </w:tr>
      <w:tr w:rsidR="00FC38CE">
        <w:trPr>
          <w:trHeight w:val="909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FC38CE">
        <w:trPr>
          <w:trHeight w:val="137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0" w:lineRule="auto"/>
              <w:ind w:left="107" w:right="193"/>
              <w:rPr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6"/>
                <w:szCs w:val="26"/>
              </w:rPr>
              <w:t>91 Architecture and Urban Planning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Architecture and Urban Planning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/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 and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60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Architecture, Design and Geodesy </w:t>
            </w:r>
            <w:r>
              <w:rPr>
                <w:i/>
                <w:color w:val="000000"/>
                <w:sz w:val="26"/>
                <w:szCs w:val="26"/>
              </w:rPr>
              <w:t>Department of Architecture and Environmental Design</w:t>
            </w:r>
          </w:p>
        </w:tc>
      </w:tr>
      <w:tr w:rsidR="00FC38CE">
        <w:trPr>
          <w:trHeight w:val="149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 Construction and Civil Engineering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Construction and Civil Engineering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 and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Mechanical Engineering, Technologies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106" w:right="443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Welding and Construction Technologies</w:t>
            </w:r>
          </w:p>
        </w:tc>
      </w:tr>
      <w:tr w:rsidR="00FC38CE">
        <w:trPr>
          <w:trHeight w:val="158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 Geodesy and Land Management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8"/>
              </w:tabs>
              <w:ind w:left="107" w:right="6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Geodesy and Land Management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 and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75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Architecture, Design and Geodesy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Geodesy, Cartography and Land Management</w:t>
            </w:r>
          </w:p>
        </w:tc>
      </w:tr>
      <w:tr w:rsidR="00FC38CE">
        <w:trPr>
          <w:trHeight w:val="1370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201Agronomy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Agronomy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6" w:lineRule="auto"/>
              <w:ind w:left="10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 in specialties of field of knowledge 20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4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Agricultural Technology and Forestry</w:t>
            </w:r>
          </w:p>
        </w:tc>
      </w:tr>
      <w:tr w:rsidR="00FC38CE">
        <w:trPr>
          <w:trHeight w:val="1149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94" w:right="9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two years and 10 months 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94" w:right="9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three years and 10 months (without correspondent education)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106" w:right="13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</w:tbl>
    <w:p w:rsidR="00FC38CE" w:rsidRDefault="00FC38CE">
      <w:pPr>
        <w:widowControl/>
        <w:rPr>
          <w:sz w:val="2"/>
          <w:szCs w:val="2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9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4" w:lineRule="auto"/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49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 Forestry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Forestry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 and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106" w:right="34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Agricultural Technology and Forestry</w:t>
            </w:r>
          </w:p>
        </w:tc>
      </w:tr>
      <w:tr w:rsidR="00FC38CE">
        <w:trPr>
          <w:trHeight w:val="164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5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 Physical therapy, Ergotherapy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5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Physical therapy, Ergotherapy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 and Professional Junior Bachelor degree in specialties 223 and 224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Law and Social Technologies/ Faculty of Social Technologies, Recreation </w:t>
            </w:r>
            <w:r>
              <w:rPr>
                <w:color w:val="000000"/>
                <w:sz w:val="26"/>
                <w:szCs w:val="26"/>
              </w:rPr>
              <w:t>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Physical Rehabilitation</w:t>
            </w:r>
          </w:p>
        </w:tc>
      </w:tr>
      <w:tr w:rsidR="00FC38CE">
        <w:trPr>
          <w:trHeight w:val="152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99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86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(without correspondent education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4" w:lineRule="auto"/>
              <w:ind w:left="106" w:right="13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No more than 30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3"/>
                <w:szCs w:val="23"/>
              </w:rPr>
            </w:pPr>
          </w:p>
        </w:tc>
      </w:tr>
      <w:tr w:rsidR="00FC38CE">
        <w:trPr>
          <w:trHeight w:val="179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 Social Work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Social Work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8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 and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Law and Social Technologies/ Faculty of Social Technologies, Recreation and Rehabilitation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5" w:lineRule="auto"/>
              <w:ind w:left="106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Social Work</w:t>
            </w:r>
          </w:p>
        </w:tc>
      </w:tr>
      <w:tr w:rsidR="00FC38CE">
        <w:trPr>
          <w:trHeight w:val="186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 Tourism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Tourism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 and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4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Business, Environmental Management and Tourism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46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Tourism</w:t>
            </w:r>
          </w:p>
        </w:tc>
      </w:tr>
    </w:tbl>
    <w:p w:rsidR="00FC38CE" w:rsidRDefault="00FC38CE">
      <w:pPr>
        <w:widowControl/>
        <w:rPr>
          <w:sz w:val="26"/>
          <w:szCs w:val="26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6"/>
          <w:szCs w:val="26"/>
        </w:rPr>
      </w:pPr>
    </w:p>
    <w:tbl>
      <w:tblPr>
        <w:tblStyle w:val="af0"/>
        <w:tblW w:w="15342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2696"/>
        <w:gridCol w:w="1347"/>
        <w:gridCol w:w="1347"/>
        <w:gridCol w:w="3322"/>
        <w:gridCol w:w="4191"/>
      </w:tblGrid>
      <w:tr w:rsidR="00FC38CE">
        <w:trPr>
          <w:trHeight w:val="179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 Law Enforcement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8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Law Enforcement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—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 and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5"/>
                <w:tab w:val="left" w:pos="2133"/>
                <w:tab w:val="left" w:pos="2352"/>
              </w:tabs>
              <w:ind w:left="106" w:right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Educational-Scientific Institute of Law and Social Technologies/ Faculty of Law 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5"/>
                <w:tab w:val="left" w:pos="2133"/>
                <w:tab w:val="left" w:pos="2352"/>
              </w:tabs>
              <w:ind w:left="106" w:right="1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Law Enforcement and General Legal Discip</w:t>
            </w:r>
            <w:r>
              <w:rPr>
                <w:i/>
                <w:color w:val="000000"/>
                <w:sz w:val="26"/>
                <w:szCs w:val="26"/>
              </w:rPr>
              <w:t>lines</w:t>
            </w:r>
          </w:p>
        </w:tc>
      </w:tr>
      <w:tr w:rsidR="00FC38CE">
        <w:trPr>
          <w:trHeight w:val="1644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 Automobile Transport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Automobile Transport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one year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No more than 120 ECTS credits based on Junior Bachelor degree (Junior Specialist) in specialties of fields of knowledge 13, 14, 18 and 27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Mechanical Engineering, Technologies and Transport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99"/>
              </w:tabs>
              <w:ind w:left="106" w:right="101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Automobile Transport and Industrial Mechanical Engineering</w:t>
            </w:r>
          </w:p>
        </w:tc>
      </w:tr>
      <w:tr w:rsidR="00FC38CE">
        <w:trPr>
          <w:trHeight w:val="1151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 w:right="193" w:hanging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two years and 10 months (without correspondent education)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right="194" w:hanging="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three years and 10 months (without correspondent education)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 more than 60 ECTS credits in other specialties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820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6" w:right="1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Professional Junior Bachelor degree</w:t>
            </w:r>
          </w:p>
        </w:tc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FC3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FC38CE">
        <w:trPr>
          <w:trHeight w:val="165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9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 Public Management and Administration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0"/>
              </w:tabs>
              <w:ind w:left="107" w:right="10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Public Management and Administration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2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two years and 10 months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94" w:right="93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three years and 10 months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3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No more than 60 ECTS credits based on Junior Bachelor degree (Junior Specialist) and Professional Junior Bachelor degree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Educational-Scientific Institute of Management, Food Technologies and Trade</w:t>
            </w:r>
          </w:p>
          <w:p w:rsidR="00FC38CE" w:rsidRDefault="004C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4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Department of Public Administration and Organizations’ Management</w:t>
            </w:r>
          </w:p>
        </w:tc>
      </w:tr>
    </w:tbl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FC38CE" w:rsidRDefault="00FC38C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1"/>
          <w:szCs w:val="21"/>
        </w:rPr>
      </w:pPr>
    </w:p>
    <w:p w:rsidR="00FC38CE" w:rsidRDefault="004C78DC">
      <w:pPr>
        <w:spacing w:before="90"/>
        <w:ind w:left="314" w:right="648"/>
        <w:jc w:val="both"/>
        <w:rPr>
          <w:sz w:val="24"/>
          <w:szCs w:val="24"/>
        </w:rPr>
      </w:pPr>
      <w:r>
        <w:rPr>
          <w:sz w:val="24"/>
          <w:szCs w:val="24"/>
        </w:rPr>
        <w:t>* - Training of part-time students is carried out at Center of Retraining and Part-Time Studying (excluding students of ESI of Law and Social Technologies). If more than 15 full-time students (7 part-time students) are enrolled for studies, a seperate acad</w:t>
      </w:r>
      <w:r>
        <w:rPr>
          <w:sz w:val="24"/>
          <w:szCs w:val="24"/>
        </w:rPr>
        <w:t>emic group can exist. If less than 15 full-time students (7 part-time students) are enrolled for studies, they are included in existing academic groups for vacant places of the licensed volume to be traned under the current bachelor educational and profess</w:t>
      </w:r>
      <w:r>
        <w:rPr>
          <w:sz w:val="24"/>
          <w:szCs w:val="24"/>
        </w:rPr>
        <w:t>ional program on the basis of full general secondary education</w:t>
      </w:r>
    </w:p>
    <w:p w:rsidR="00FC38CE" w:rsidRDefault="004C78DC">
      <w:pPr>
        <w:ind w:left="314"/>
        <w:jc w:val="both"/>
        <w:rPr>
          <w:sz w:val="24"/>
          <w:szCs w:val="24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  <w:r>
        <w:rPr>
          <w:sz w:val="24"/>
          <w:szCs w:val="24"/>
        </w:rPr>
        <w:t>** - Non-accredited educational programs</w:t>
      </w:r>
    </w:p>
    <w:p w:rsidR="00FC38CE" w:rsidRDefault="00FC38CE">
      <w:pPr>
        <w:jc w:val="both"/>
        <w:rPr>
          <w:sz w:val="24"/>
          <w:szCs w:val="24"/>
        </w:rPr>
        <w:sectPr w:rsidR="00FC38CE">
          <w:type w:val="continuous"/>
          <w:pgSz w:w="16850" w:h="11920" w:orient="landscape"/>
          <w:pgMar w:top="1100" w:right="200" w:bottom="500" w:left="480" w:header="0" w:footer="302" w:gutter="0"/>
          <w:cols w:space="720"/>
        </w:sectPr>
      </w:pPr>
    </w:p>
    <w:p w:rsidR="00FC38CE" w:rsidRDefault="00FC38CE">
      <w:pPr>
        <w:spacing w:before="67"/>
        <w:ind w:right="388"/>
        <w:rPr>
          <w:sz w:val="24"/>
          <w:szCs w:val="24"/>
        </w:rPr>
      </w:pPr>
    </w:p>
    <w:sectPr w:rsidR="00FC38CE">
      <w:footerReference w:type="default" r:id="rId8"/>
      <w:pgSz w:w="11920" w:h="16850"/>
      <w:pgMar w:top="1520" w:right="46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78DC">
      <w:r>
        <w:separator/>
      </w:r>
    </w:p>
  </w:endnote>
  <w:endnote w:type="continuationSeparator" w:id="0">
    <w:p w:rsidR="00000000" w:rsidRDefault="004C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CE" w:rsidRDefault="004C78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4356735</wp:posOffset>
              </wp:positionH>
              <wp:positionV relativeFrom="paragraph">
                <wp:posOffset>0</wp:posOffset>
              </wp:positionV>
              <wp:extent cx="229235" cy="180975"/>
              <wp:effectExtent l="0" t="0" r="0" b="0"/>
              <wp:wrapNone/>
              <wp:docPr id="2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06D8" w:rsidRDefault="004C78D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343.05pt;margin-top:0;width:18.05pt;height:14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" filled="f" stroked="f">
              <v:textbox inset="0,0,0,0">
                <w:txbxContent>
                  <w:p w:rsidR="000D06D8" w:rsidRDefault="004C78D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CE" w:rsidRDefault="004C78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4356735</wp:posOffset>
              </wp:positionH>
              <wp:positionV relativeFrom="paragraph">
                <wp:posOffset>0</wp:posOffset>
              </wp:positionV>
              <wp:extent cx="229235" cy="180975"/>
              <wp:effectExtent l="0" t="0" r="0" b="0"/>
              <wp:wrapNone/>
              <wp:docPr id="3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01395" w:rsidRDefault="004C78DC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3.05pt;margin-top:0;width:18.05pt;height:14.2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" filled="f" stroked="f">
              <v:textbox inset="0,0,0,0">
                <w:txbxContent>
                  <w:p w:rsidR="00401395" w:rsidRDefault="004C78DC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CE" w:rsidRDefault="004C78D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2997200</wp:posOffset>
              </wp:positionH>
              <wp:positionV relativeFrom="paragraph">
                <wp:posOffset>0</wp:posOffset>
              </wp:positionV>
              <wp:extent cx="165735" cy="180975"/>
              <wp:effectExtent l="0" t="0" r="0" b="0"/>
              <wp:wrapNone/>
              <wp:docPr id="1" name="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06D8" w:rsidRDefault="004C78DC">
                          <w:pPr>
                            <w:spacing w:before="11"/>
                            <w:ind w:left="20"/>
                          </w:pPr>
                          <w: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0</wp:posOffset>
              </wp:positionV>
              <wp:extent cx="165735" cy="18097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735" cy="180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78DC">
      <w:r>
        <w:separator/>
      </w:r>
    </w:p>
  </w:footnote>
  <w:footnote w:type="continuationSeparator" w:id="0">
    <w:p w:rsidR="00000000" w:rsidRDefault="004C7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CE"/>
    <w:rsid w:val="004C78DC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E0F2F-5153-4E74-8B18-9510C2A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313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spacing w:before="62"/>
      <w:ind w:left="314"/>
      <w:outlineLvl w:val="1"/>
    </w:pPr>
    <w:rPr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86"/>
      <w:ind w:left="1313" w:right="1325"/>
      <w:jc w:val="center"/>
    </w:pPr>
    <w:rPr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2022-04-08T07:48:00Z</dcterms:created>
  <dcterms:modified xsi:type="dcterms:W3CDTF">2022-04-08T07:48:00Z</dcterms:modified>
</cp:coreProperties>
</file>